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19"/>
        <w:gridCol w:w="1760"/>
        <w:gridCol w:w="222"/>
        <w:gridCol w:w="2521"/>
        <w:gridCol w:w="902"/>
        <w:gridCol w:w="222"/>
        <w:gridCol w:w="877"/>
        <w:gridCol w:w="285"/>
        <w:gridCol w:w="812"/>
        <w:gridCol w:w="1590"/>
        <w:gridCol w:w="880"/>
      </w:tblGrid>
      <w:tr w:rsidR="00331954" w:rsidRPr="00130996" w:rsidTr="00331954">
        <w:trPr>
          <w:trHeight w:val="240"/>
        </w:trPr>
        <w:tc>
          <w:tcPr>
            <w:tcW w:w="12080" w:type="dxa"/>
            <w:gridSpan w:val="12"/>
            <w:hideMark/>
          </w:tcPr>
          <w:p w:rsidR="00331954" w:rsidRPr="00130996" w:rsidRDefault="00331954" w:rsidP="00331954">
            <w:pPr>
              <w:jc w:val="center"/>
              <w:rPr>
                <w:rFonts w:cstheme="minorHAnsi"/>
                <w:b/>
                <w:bCs/>
                <w:sz w:val="16"/>
                <w:szCs w:val="16"/>
              </w:rPr>
            </w:pPr>
            <w:r w:rsidRPr="00130996">
              <w:rPr>
                <w:rFonts w:cstheme="minorHAnsi"/>
                <w:b/>
                <w:bCs/>
                <w:sz w:val="16"/>
                <w:szCs w:val="16"/>
              </w:rPr>
              <w:t>ДОГОВОР № 3</w:t>
            </w:r>
          </w:p>
        </w:tc>
      </w:tr>
      <w:tr w:rsidR="00331954" w:rsidRPr="00130996" w:rsidTr="00331954">
        <w:trPr>
          <w:trHeight w:val="240"/>
        </w:trPr>
        <w:tc>
          <w:tcPr>
            <w:tcW w:w="12080" w:type="dxa"/>
            <w:gridSpan w:val="12"/>
            <w:hideMark/>
          </w:tcPr>
          <w:p w:rsidR="00331954" w:rsidRPr="00130996" w:rsidRDefault="00331954" w:rsidP="00331954">
            <w:pPr>
              <w:jc w:val="center"/>
              <w:rPr>
                <w:rFonts w:cstheme="minorHAnsi"/>
                <w:b/>
                <w:bCs/>
                <w:sz w:val="16"/>
                <w:szCs w:val="16"/>
              </w:rPr>
            </w:pPr>
            <w:r w:rsidRPr="00130996">
              <w:rPr>
                <w:rFonts w:cstheme="minorHAnsi"/>
                <w:b/>
                <w:bCs/>
                <w:sz w:val="16"/>
                <w:szCs w:val="16"/>
              </w:rPr>
              <w:t>возмездного оказания медицинских услуг</w:t>
            </w:r>
          </w:p>
        </w:tc>
      </w:tr>
      <w:tr w:rsidR="00331954" w:rsidRPr="00130996" w:rsidTr="00331954">
        <w:trPr>
          <w:trHeight w:val="240"/>
        </w:trPr>
        <w:tc>
          <w:tcPr>
            <w:tcW w:w="6100" w:type="dxa"/>
            <w:gridSpan w:val="5"/>
            <w:hideMark/>
          </w:tcPr>
          <w:p w:rsidR="00331954" w:rsidRPr="00130996" w:rsidRDefault="00331954">
            <w:pPr>
              <w:rPr>
                <w:rFonts w:cstheme="minorHAnsi"/>
                <w:sz w:val="16"/>
                <w:szCs w:val="16"/>
              </w:rPr>
            </w:pPr>
            <w:r w:rsidRPr="00130996">
              <w:rPr>
                <w:rFonts w:cstheme="minorHAnsi"/>
                <w:sz w:val="16"/>
                <w:szCs w:val="16"/>
              </w:rPr>
              <w:t>г. Екатеринбург</w:t>
            </w:r>
          </w:p>
        </w:tc>
        <w:tc>
          <w:tcPr>
            <w:tcW w:w="5980" w:type="dxa"/>
            <w:gridSpan w:val="7"/>
            <w:hideMark/>
          </w:tcPr>
          <w:p w:rsidR="00331954" w:rsidRPr="00130996" w:rsidRDefault="00331954" w:rsidP="00331954">
            <w:pPr>
              <w:jc w:val="right"/>
              <w:rPr>
                <w:rFonts w:cstheme="minorHAnsi"/>
                <w:sz w:val="16"/>
                <w:szCs w:val="16"/>
              </w:rPr>
            </w:pPr>
            <w:r w:rsidRPr="00130996">
              <w:rPr>
                <w:rFonts w:cstheme="minorHAnsi"/>
                <w:sz w:val="16"/>
                <w:szCs w:val="16"/>
              </w:rPr>
              <w:t>16 января 2020 г.</w:t>
            </w:r>
          </w:p>
        </w:tc>
      </w:tr>
      <w:tr w:rsidR="00331954" w:rsidRPr="00130996" w:rsidTr="00331954">
        <w:trPr>
          <w:trHeight w:val="240"/>
        </w:trPr>
        <w:tc>
          <w:tcPr>
            <w:tcW w:w="240" w:type="dxa"/>
            <w:hideMark/>
          </w:tcPr>
          <w:p w:rsidR="00331954" w:rsidRPr="00130996" w:rsidRDefault="00331954" w:rsidP="00331954">
            <w:pPr>
              <w:rPr>
                <w:rFonts w:cstheme="minorHAnsi"/>
                <w:sz w:val="16"/>
                <w:szCs w:val="16"/>
              </w:rPr>
            </w:pPr>
          </w:p>
        </w:tc>
        <w:tc>
          <w:tcPr>
            <w:tcW w:w="740" w:type="dxa"/>
            <w:hideMark/>
          </w:tcPr>
          <w:p w:rsidR="00331954" w:rsidRPr="00130996" w:rsidRDefault="00331954" w:rsidP="00331954">
            <w:pPr>
              <w:rPr>
                <w:rFonts w:cstheme="minorHAnsi"/>
                <w:sz w:val="16"/>
                <w:szCs w:val="16"/>
              </w:rPr>
            </w:pPr>
          </w:p>
        </w:tc>
        <w:tc>
          <w:tcPr>
            <w:tcW w:w="208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2880" w:type="dxa"/>
            <w:hideMark/>
          </w:tcPr>
          <w:p w:rsidR="00331954" w:rsidRPr="00130996" w:rsidRDefault="00331954" w:rsidP="00331954">
            <w:pPr>
              <w:rPr>
                <w:rFonts w:cstheme="minorHAnsi"/>
                <w:sz w:val="16"/>
                <w:szCs w:val="16"/>
              </w:rPr>
            </w:pPr>
          </w:p>
        </w:tc>
        <w:tc>
          <w:tcPr>
            <w:tcW w:w="92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980" w:type="dxa"/>
            <w:hideMark/>
          </w:tcPr>
          <w:p w:rsidR="00331954" w:rsidRPr="00130996" w:rsidRDefault="00331954" w:rsidP="00331954">
            <w:pPr>
              <w:rPr>
                <w:rFonts w:cstheme="minorHAnsi"/>
                <w:sz w:val="16"/>
                <w:szCs w:val="16"/>
              </w:rPr>
            </w:pPr>
          </w:p>
        </w:tc>
        <w:tc>
          <w:tcPr>
            <w:tcW w:w="180" w:type="dxa"/>
            <w:hideMark/>
          </w:tcPr>
          <w:p w:rsidR="00331954" w:rsidRPr="00130996" w:rsidRDefault="00331954" w:rsidP="00331954">
            <w:pPr>
              <w:rPr>
                <w:rFonts w:cstheme="minorHAnsi"/>
                <w:sz w:val="16"/>
                <w:szCs w:val="16"/>
              </w:rPr>
            </w:pPr>
          </w:p>
        </w:tc>
        <w:tc>
          <w:tcPr>
            <w:tcW w:w="880" w:type="dxa"/>
            <w:hideMark/>
          </w:tcPr>
          <w:p w:rsidR="00331954" w:rsidRPr="00130996" w:rsidRDefault="00331954" w:rsidP="00331954">
            <w:pPr>
              <w:rPr>
                <w:rFonts w:cstheme="minorHAnsi"/>
                <w:sz w:val="16"/>
                <w:szCs w:val="16"/>
              </w:rPr>
            </w:pPr>
          </w:p>
        </w:tc>
        <w:tc>
          <w:tcPr>
            <w:tcW w:w="1840" w:type="dxa"/>
            <w:hideMark/>
          </w:tcPr>
          <w:p w:rsidR="00331954" w:rsidRPr="00130996" w:rsidRDefault="00331954" w:rsidP="00331954">
            <w:pPr>
              <w:rPr>
                <w:rFonts w:cstheme="minorHAnsi"/>
                <w:sz w:val="16"/>
                <w:szCs w:val="16"/>
              </w:rPr>
            </w:pPr>
          </w:p>
        </w:tc>
        <w:tc>
          <w:tcPr>
            <w:tcW w:w="1020" w:type="dxa"/>
            <w:hideMark/>
          </w:tcPr>
          <w:p w:rsidR="00331954" w:rsidRPr="00130996" w:rsidRDefault="00331954" w:rsidP="00331954">
            <w:pPr>
              <w:rPr>
                <w:rFonts w:cstheme="minorHAnsi"/>
                <w:sz w:val="16"/>
                <w:szCs w:val="16"/>
              </w:rPr>
            </w:pPr>
          </w:p>
        </w:tc>
      </w:tr>
      <w:tr w:rsidR="00331954" w:rsidRPr="00130996" w:rsidTr="00130996">
        <w:trPr>
          <w:trHeight w:val="605"/>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Общество с ограниченной ответственностью "Центр коррекции зрения "Доктор Линза", именуемое в дальнейшем «Исполнитель», в лице  директора Плотниковой Елены Викторовны, действующей на основании Устава, с одной стороны, и гр. Иванов Иван Иванович, именуемый в дальнейшем «Пациент», с другой стороны, заключили настоящий договор о нижеследующем:</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1. Предмет договора.</w:t>
            </w:r>
          </w:p>
        </w:tc>
      </w:tr>
      <w:tr w:rsidR="00331954" w:rsidRPr="00130996" w:rsidTr="00130996">
        <w:trPr>
          <w:trHeight w:val="334"/>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1.1. Исполнитель обязуется оказать пациенту, Иванову Ивану Ивановичу, 01.01.2000 г.р., медицинские услуги, перечень которых указан в Прейскуранте ЦКЗ «Доктор Линза», размещенном на сайте www.doctorlinza.ru и на стойке регистратуры.</w:t>
            </w:r>
          </w:p>
        </w:tc>
      </w:tr>
      <w:tr w:rsidR="00331954" w:rsidRPr="00130996" w:rsidTr="00130996">
        <w:trPr>
          <w:trHeight w:val="51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 xml:space="preserve">1.2. Услуги оказываются в соответствии с имеющейся лицензией, выданной Федеральной службой по надзору в сфере здравоохранения и соц. Развития, на осуществление медицинской деятельности, выданной Министерством здравоохранения Свердловской области (г. Екатеринбург, ул. </w:t>
            </w:r>
            <w:proofErr w:type="spellStart"/>
            <w:r w:rsidRPr="00130996">
              <w:rPr>
                <w:rFonts w:cstheme="minorHAnsi"/>
                <w:sz w:val="16"/>
                <w:szCs w:val="16"/>
              </w:rPr>
              <w:t>Вайнера</w:t>
            </w:r>
            <w:proofErr w:type="spellEnd"/>
            <w:r w:rsidRPr="00130996">
              <w:rPr>
                <w:rFonts w:cstheme="minorHAnsi"/>
                <w:sz w:val="16"/>
                <w:szCs w:val="16"/>
              </w:rPr>
              <w:t>, д. 34б тел. (343)312-00-03) при оказании первичной специализированной медико-санитарной помощи в амбулаторных условиях по: офтальмологии.</w:t>
            </w:r>
          </w:p>
        </w:tc>
      </w:tr>
      <w:tr w:rsidR="00331954" w:rsidRPr="00130996" w:rsidTr="00130996">
        <w:trPr>
          <w:trHeight w:val="631"/>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1.3. Исполнитель уведомляет Потребителя об альтернативной возможности получения Услуг за счет бюджетных и иных средств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при наличии полиса ОМС.</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2. Обязательства сторон.</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2.1. Исполнитель обязуется:</w:t>
            </w:r>
          </w:p>
        </w:tc>
      </w:tr>
      <w:tr w:rsidR="00331954" w:rsidRPr="00130996" w:rsidTr="00130996">
        <w:trPr>
          <w:trHeight w:val="916"/>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 xml:space="preserve">2.1.1. Предоставить Потребителю достоверную информацию о поставленном диагнозе, об оказываемых медицинских услугах, эффективности методов лечения, используемых лекарственных препаратах и медицинских изделиях, о противопоказаниях, возможных осложнениях и временных </w:t>
            </w:r>
            <w:proofErr w:type="spellStart"/>
            <w:r w:rsidRPr="00130996">
              <w:rPr>
                <w:rFonts w:cstheme="minorHAnsi"/>
                <w:sz w:val="16"/>
                <w:szCs w:val="16"/>
              </w:rPr>
              <w:t>дискомфортах</w:t>
            </w:r>
            <w:proofErr w:type="spellEnd"/>
            <w:r w:rsidRPr="00130996">
              <w:rPr>
                <w:rFonts w:cstheme="minorHAnsi"/>
                <w:sz w:val="16"/>
                <w:szCs w:val="16"/>
              </w:rPr>
              <w:t>, которые могут возникнуть в процессе лечения и после в связи с медицинской спецификой Потребителя, а также общим состоянием его здоровья. Указанные сведения содержатся в листах Информированных согласий на конкретные медицинские вмешательства, которые являются неотъемлемой частью медицинской карты.</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2.1.2. Осуществлять плановое динамическое наблюдение Пациента при подборе мягких контактных линз для контроля миопии в течение 1 года.</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2.1.3. Обеспечить применение только разрешенных к применению в РФ лекарственных препаратов, медицинских изделий, дезинфекционных средств.</w:t>
            </w:r>
          </w:p>
        </w:tc>
      </w:tr>
      <w:tr w:rsidR="00331954" w:rsidRPr="00130996" w:rsidTr="00130996">
        <w:trPr>
          <w:trHeight w:val="312"/>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2.1.4. Оказывать медицинские услуги в соответствии с порядками оказания медицинской помощи, утвержденными Министерством здравоохранения Российской Федерации.</w:t>
            </w:r>
          </w:p>
        </w:tc>
      </w:tr>
      <w:tr w:rsidR="00331954" w:rsidRPr="00130996" w:rsidTr="00130996">
        <w:trPr>
          <w:trHeight w:val="48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2.1.5. Оказывать медицинские услуги в полном объеме стандарта медицинской помощи, утвержденного Министерством здравоохранения РФ (при его наличии), либо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по желанию Потребителя.</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2.1.6. Соблюдать врачебную тайну, в том числе конфиденциальность персональных данных.</w:t>
            </w:r>
          </w:p>
        </w:tc>
      </w:tr>
      <w:tr w:rsidR="00331954" w:rsidRPr="00130996" w:rsidTr="00130996">
        <w:trPr>
          <w:trHeight w:val="79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2.1.7. Обеспечить надлежащее качество оказанных медицинских услуг, при этом под качеством медицинской услуги понимается характеристика медицинской услуги, свидетельствующая о наличии в услуге потребительских свойств, которые соответствуют нуждам Потребителя и потенциально способны удовлетворить эти нужды непосредственно в момент ее оказания или в иной прогнозируемый временной период после ее окончания. Надлежащее качество услуги определяется совокупностью трех условий:</w:t>
            </w:r>
          </w:p>
        </w:tc>
      </w:tr>
      <w:tr w:rsidR="00331954" w:rsidRPr="00130996" w:rsidTr="00130996">
        <w:trPr>
          <w:trHeight w:val="143"/>
        </w:trPr>
        <w:tc>
          <w:tcPr>
            <w:tcW w:w="240" w:type="dxa"/>
            <w:hideMark/>
          </w:tcPr>
          <w:p w:rsidR="00331954" w:rsidRPr="00130996" w:rsidRDefault="00331954" w:rsidP="00331954">
            <w:pPr>
              <w:rPr>
                <w:rFonts w:cstheme="minorHAnsi"/>
                <w:sz w:val="16"/>
                <w:szCs w:val="16"/>
              </w:rPr>
            </w:pPr>
            <w:r w:rsidRPr="00130996">
              <w:rPr>
                <w:rFonts w:cstheme="minorHAnsi"/>
                <w:sz w:val="16"/>
                <w:szCs w:val="16"/>
              </w:rPr>
              <w:t>-</w:t>
            </w:r>
          </w:p>
        </w:tc>
        <w:tc>
          <w:tcPr>
            <w:tcW w:w="11840" w:type="dxa"/>
            <w:gridSpan w:val="11"/>
            <w:hideMark/>
          </w:tcPr>
          <w:p w:rsidR="00331954" w:rsidRPr="00130996" w:rsidRDefault="00331954" w:rsidP="00331954">
            <w:pPr>
              <w:rPr>
                <w:rFonts w:cstheme="minorHAnsi"/>
                <w:sz w:val="16"/>
                <w:szCs w:val="16"/>
              </w:rPr>
            </w:pPr>
            <w:r w:rsidRPr="00130996">
              <w:rPr>
                <w:rFonts w:cstheme="minorHAnsi"/>
                <w:sz w:val="16"/>
                <w:szCs w:val="16"/>
              </w:rPr>
              <w:t>Потребителю правильно поставлен диагноз или правильно выявлена потребность в медицинской услуге;</w:t>
            </w:r>
          </w:p>
        </w:tc>
      </w:tr>
      <w:tr w:rsidR="00331954" w:rsidRPr="00130996" w:rsidTr="00130996">
        <w:trPr>
          <w:trHeight w:val="330"/>
        </w:trPr>
        <w:tc>
          <w:tcPr>
            <w:tcW w:w="240" w:type="dxa"/>
            <w:hideMark/>
          </w:tcPr>
          <w:p w:rsidR="00331954" w:rsidRPr="00130996" w:rsidRDefault="00331954" w:rsidP="00331954">
            <w:pPr>
              <w:rPr>
                <w:rFonts w:cstheme="minorHAnsi"/>
                <w:sz w:val="16"/>
                <w:szCs w:val="16"/>
              </w:rPr>
            </w:pPr>
            <w:r w:rsidRPr="00130996">
              <w:rPr>
                <w:rFonts w:cstheme="minorHAnsi"/>
                <w:sz w:val="16"/>
                <w:szCs w:val="16"/>
              </w:rPr>
              <w:t>-</w:t>
            </w:r>
          </w:p>
        </w:tc>
        <w:tc>
          <w:tcPr>
            <w:tcW w:w="11840" w:type="dxa"/>
            <w:gridSpan w:val="11"/>
            <w:hideMark/>
          </w:tcPr>
          <w:p w:rsidR="00331954" w:rsidRPr="00130996" w:rsidRDefault="00331954" w:rsidP="00331954">
            <w:pPr>
              <w:rPr>
                <w:rFonts w:cstheme="minorHAnsi"/>
                <w:sz w:val="16"/>
                <w:szCs w:val="16"/>
              </w:rPr>
            </w:pPr>
            <w:r w:rsidRPr="00130996">
              <w:rPr>
                <w:rFonts w:cstheme="minorHAnsi"/>
                <w:sz w:val="16"/>
                <w:szCs w:val="16"/>
              </w:rPr>
              <w:t>Исполнителем правильно выбрана медицинская технология, соответствующая диагнозу (или его потребности) с учетом иных значимых медицинских обстоятельств (сопутствующие заболевания, аллергические реакции и т.д.) и финансовым возможностям Потребителя;</w:t>
            </w:r>
          </w:p>
        </w:tc>
      </w:tr>
      <w:tr w:rsidR="00331954" w:rsidRPr="00130996" w:rsidTr="00130996">
        <w:trPr>
          <w:trHeight w:val="407"/>
        </w:trPr>
        <w:tc>
          <w:tcPr>
            <w:tcW w:w="240" w:type="dxa"/>
            <w:hideMark/>
          </w:tcPr>
          <w:p w:rsidR="00331954" w:rsidRPr="00130996" w:rsidRDefault="00331954" w:rsidP="00331954">
            <w:pPr>
              <w:rPr>
                <w:rFonts w:cstheme="minorHAnsi"/>
                <w:sz w:val="16"/>
                <w:szCs w:val="16"/>
              </w:rPr>
            </w:pPr>
            <w:r w:rsidRPr="00130996">
              <w:rPr>
                <w:rFonts w:cstheme="minorHAnsi"/>
                <w:sz w:val="16"/>
                <w:szCs w:val="16"/>
              </w:rPr>
              <w:t>-</w:t>
            </w:r>
          </w:p>
        </w:tc>
        <w:tc>
          <w:tcPr>
            <w:tcW w:w="11840" w:type="dxa"/>
            <w:gridSpan w:val="11"/>
            <w:hideMark/>
          </w:tcPr>
          <w:p w:rsidR="00331954" w:rsidRPr="00130996" w:rsidRDefault="00331954" w:rsidP="00331954">
            <w:pPr>
              <w:rPr>
                <w:rFonts w:cstheme="minorHAnsi"/>
                <w:sz w:val="16"/>
                <w:szCs w:val="16"/>
              </w:rPr>
            </w:pPr>
            <w:r w:rsidRPr="00130996">
              <w:rPr>
                <w:rFonts w:cstheme="minorHAnsi"/>
                <w:sz w:val="16"/>
                <w:szCs w:val="16"/>
              </w:rPr>
              <w:t>Медицинская технология выполнена с соблюдением обычно предъявляемых к ней требований или требованиям, установленным законом (при их наличии).</w:t>
            </w:r>
          </w:p>
        </w:tc>
      </w:tr>
      <w:tr w:rsidR="00331954" w:rsidRPr="00130996" w:rsidTr="00130996">
        <w:trPr>
          <w:trHeight w:val="285"/>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2.1.8. При необходимости оказания дополнительных медицинских услуг, Исполнитель информирует об этом Потребителя, согласовывая их вид, объем и сроки в дополнительном приложении к настоящему договору.</w:t>
            </w:r>
          </w:p>
        </w:tc>
      </w:tr>
      <w:tr w:rsidR="00331954" w:rsidRPr="00130996" w:rsidTr="00130996">
        <w:trPr>
          <w:trHeight w:val="191"/>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2.2. Потребитель обязуется:</w:t>
            </w:r>
          </w:p>
        </w:tc>
      </w:tr>
      <w:tr w:rsidR="00331954" w:rsidRPr="00130996" w:rsidTr="00130996">
        <w:trPr>
          <w:trHeight w:val="56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2.2.1. Предоставить необходимую для Исполнителя информацию о состоянии своего здоровья: о перенесенных и имеющихся заболеваниях, операциях, травмах; о проведенных ранее обследованиях и лечениях; об аллергических реакциях; об иных обстоятельствах, которые могут сказаться на качестве оказываемых Исполнителем услуг.</w:t>
            </w:r>
          </w:p>
        </w:tc>
      </w:tr>
      <w:tr w:rsidR="00331954" w:rsidRPr="00130996" w:rsidTr="00130996">
        <w:trPr>
          <w:trHeight w:val="401"/>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2.2.2. Соблюдать все назначения и рекомендации Исполнителя для достижения и сохранения результатов лечения. Своевременно посещать лечебные приемы. Соблюдать гигиену и выполнять мероприятия по уходу за здоровьем вовремя и по окончании лечения.</w:t>
            </w:r>
          </w:p>
        </w:tc>
      </w:tr>
      <w:tr w:rsidR="00331954" w:rsidRPr="00130996" w:rsidTr="00130996">
        <w:trPr>
          <w:trHeight w:val="13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2.2.3. Немедленно извещать Исполнителя об изменениях в состоянии здоровья в процессе оказания услуг. Заботиться о своем здоровье.</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2.2.4. Оплатить услуги Исполнителя на условиях настоящего договора.</w:t>
            </w:r>
          </w:p>
        </w:tc>
      </w:tr>
      <w:tr w:rsidR="00331954" w:rsidRPr="00130996" w:rsidTr="00130996">
        <w:trPr>
          <w:trHeight w:val="129"/>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2.3. Исполнитель имеет право:</w:t>
            </w:r>
          </w:p>
        </w:tc>
      </w:tr>
      <w:tr w:rsidR="00331954" w:rsidRPr="00130996" w:rsidTr="00130996">
        <w:trPr>
          <w:trHeight w:val="359"/>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2.3.1. Самостоятельно определять медицинские технологии (набор медицинских услуг), исходя из клинической ситуации, диагноза, иных значимых медицинских обстоятельств, согласовав их объем, стоимость и сроки выполнения с Потребителем в приложении к договору.</w:t>
            </w:r>
          </w:p>
        </w:tc>
      </w:tr>
      <w:tr w:rsidR="00331954" w:rsidRPr="00130996" w:rsidTr="00130996">
        <w:trPr>
          <w:trHeight w:val="39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2.3.2.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tc>
      </w:tr>
      <w:tr w:rsidR="00331954" w:rsidRPr="00130996" w:rsidTr="00130996">
        <w:trPr>
          <w:trHeight w:val="14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2.3.3. Привлекать третьих лиц для оказания Услуг по настоящему договору, согласовав с Потребителем.</w:t>
            </w:r>
          </w:p>
        </w:tc>
      </w:tr>
      <w:tr w:rsidR="00331954" w:rsidRPr="00130996" w:rsidTr="00130996">
        <w:trPr>
          <w:trHeight w:val="37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2.3.4. Не приступать к оказанию Услуг, а начатые Услуги приостановить в случае неоплаты (несвоевременной оплаты) Потребителем Услуг в соответствии с настоящим договором, при условии отсутствия ситуации, угрожающей жизни.</w:t>
            </w:r>
          </w:p>
        </w:tc>
      </w:tr>
      <w:tr w:rsidR="00331954" w:rsidRPr="00130996" w:rsidTr="00130996">
        <w:trPr>
          <w:trHeight w:val="54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2.3.5. Если Потребитель, несмотря на своевременное и обоснованное информирование Исполнителем, в разумный срок не изменит указания о способе оказания услуги либо не устранит иных обстоятельств, которые могут снизить качество оказываемой услуги, Исполнитель вправе отказаться от исполнения договора и потребовать полного возмещения убытков.</w:t>
            </w:r>
          </w:p>
        </w:tc>
      </w:tr>
      <w:tr w:rsidR="00331954" w:rsidRPr="00130996" w:rsidTr="00130996">
        <w:trPr>
          <w:trHeight w:val="103"/>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2.4. Потребитель имеет право:</w:t>
            </w:r>
          </w:p>
        </w:tc>
      </w:tr>
      <w:tr w:rsidR="00331954" w:rsidRPr="00130996" w:rsidTr="00130996">
        <w:trPr>
          <w:trHeight w:val="474"/>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2.4.1. На получение полной информации о результатах обследования, наличия заболевания, диагнозе и прогнозе, методах лечения, связанном с ним риске, возможных вариантах медицинского вмешательства и результатах проведенного лечения. Данная информация может быть получена путем получения Потребителем на руки выписки из медицинской документации, результатов исследований и пр.</w:t>
            </w:r>
          </w:p>
        </w:tc>
      </w:tr>
      <w:tr w:rsidR="00331954" w:rsidRPr="00130996" w:rsidTr="00130996">
        <w:trPr>
          <w:trHeight w:val="454"/>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2.4.2. На информированное добровольное согласие на медицинское вмешательство. Добровольное согласие Пациента на проведение определенного вида медицинского вмешательства является необходимым предварительным условием оказания Услуг и подписание данного документа означает получение им всей необходимой для принятия решения информации.</w:t>
            </w:r>
          </w:p>
        </w:tc>
      </w:tr>
      <w:tr w:rsidR="00331954" w:rsidRPr="00130996" w:rsidTr="00130996">
        <w:trPr>
          <w:trHeight w:val="42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2.4.3. В любой момент отказаться от дальнейшего оказания медицинских Услуг, подписав при этом Добровольный отказ от медицинского вмешательства, в котором указаны все последствия принимаемого решения. В случае отказа Потребитель обязан оплатить Исполнителю все фактически понесенные расходы.</w:t>
            </w:r>
          </w:p>
        </w:tc>
      </w:tr>
      <w:tr w:rsidR="00331954" w:rsidRPr="00130996" w:rsidTr="00130996">
        <w:trPr>
          <w:trHeight w:val="427"/>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2.4.4. На выбор лечащего врача с учетом возможностей Исполнителя и согласия врача. Потребитель соглашается с тем, что специальные виды лечения и диагностики будут осуществляться соответствующими специалистами Исполнителя.</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2.4.5. На уважительное и гуманное отношение со стороны медицинского персонала.</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3. Цена услуг и порядок расчетов.</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3.1. Цена медицинских услуг определяется в соответствии с действующим на момент ее согласования Прейскурантом Исполнителя.</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3.2. Оплата услуг производится Потребителем в рублях в наличной или безналичной формах.</w:t>
            </w:r>
          </w:p>
        </w:tc>
      </w:tr>
      <w:tr w:rsidR="00331954" w:rsidRPr="00130996" w:rsidTr="00331954">
        <w:trPr>
          <w:trHeight w:val="499"/>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 xml:space="preserve">3.3. При выполнении некоторых работ (большие объемы, дорогостоящие виды лечения и др.) Исполнитель может предоставить Пациенту особые условия оплаты, в </w:t>
            </w:r>
            <w:proofErr w:type="spellStart"/>
            <w:r w:rsidRPr="00130996">
              <w:rPr>
                <w:rFonts w:cstheme="minorHAnsi"/>
                <w:sz w:val="16"/>
                <w:szCs w:val="16"/>
              </w:rPr>
              <w:t>т.ч</w:t>
            </w:r>
            <w:proofErr w:type="spellEnd"/>
            <w:r w:rsidRPr="00130996">
              <w:rPr>
                <w:rFonts w:cstheme="minorHAnsi"/>
                <w:sz w:val="16"/>
                <w:szCs w:val="16"/>
              </w:rPr>
              <w:t>. рассрочку оплаты (оформляется дополнительным соглашением).</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lastRenderedPageBreak/>
              <w:t>4. Ответственность сторон.</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4.1. Исполнитель и Потребитель несут ответственность друг перед другом за неисполнение или ненадлежащее исполнение условий настоящего договора.</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4.2. Потребитель несет ответственность за неисполнение обязательств по оплате предоставляемых по настоящему договору услуг.</w:t>
            </w:r>
          </w:p>
        </w:tc>
      </w:tr>
      <w:tr w:rsidR="00331954" w:rsidRPr="00130996" w:rsidTr="00130996">
        <w:trPr>
          <w:trHeight w:val="55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4.3. Исполнитель освобождается от ответственности за неисполнение или ненадлежащее исполнение медицинской услуги, если докажет, что неисполнение или ненадлежащее исполнение произошло вследствие непреодолимой силы, а также если при той степени заботливости и осмотрительности, какая от него требовалась по характеру исполняемых действий, он принял все меры для надлежащего исполнения обязательств.</w:t>
            </w:r>
          </w:p>
        </w:tc>
      </w:tr>
      <w:tr w:rsidR="00331954" w:rsidRPr="00130996" w:rsidTr="00130996">
        <w:trPr>
          <w:trHeight w:val="53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4.4. Исполнитель не несёт имущественной ответственности за неблагоприятный исход заболевания, возникновение побочных (в том числе аллергических) реакций, ухудшение первоначально достигнутых результатов лечения в случаях невыполнения Потребителем пунктов договора 2.2.1, 2.2.2; досрочного расторжение договора по инициативе или по вине Потребителя (пункты 2.4.3, 2.3.5).</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5. Срок оказания услуг и срок действия договора.</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5.1. При заказе линз (очков) «Исполнитель» оговаривает с Пациентом реальные сроки выполнения заказа и указывает их в настоящем договоре.</w:t>
            </w:r>
          </w:p>
        </w:tc>
      </w:tr>
      <w:tr w:rsidR="00331954" w:rsidRPr="00130996" w:rsidTr="00331954">
        <w:trPr>
          <w:trHeight w:val="240"/>
        </w:trPr>
        <w:tc>
          <w:tcPr>
            <w:tcW w:w="3220" w:type="dxa"/>
            <w:gridSpan w:val="4"/>
            <w:hideMark/>
          </w:tcPr>
          <w:p w:rsidR="00331954" w:rsidRPr="00130996" w:rsidRDefault="00331954" w:rsidP="00331954">
            <w:pPr>
              <w:rPr>
                <w:rFonts w:cstheme="minorHAnsi"/>
                <w:sz w:val="16"/>
                <w:szCs w:val="16"/>
              </w:rPr>
            </w:pPr>
            <w:r w:rsidRPr="00130996">
              <w:rPr>
                <w:rFonts w:cstheme="minorHAnsi"/>
                <w:sz w:val="16"/>
                <w:szCs w:val="16"/>
              </w:rPr>
              <w:t>30-90 дней</w:t>
            </w:r>
          </w:p>
        </w:tc>
        <w:tc>
          <w:tcPr>
            <w:tcW w:w="2880" w:type="dxa"/>
            <w:hideMark/>
          </w:tcPr>
          <w:p w:rsidR="00331954" w:rsidRPr="00130996" w:rsidRDefault="00331954" w:rsidP="00331954">
            <w:pPr>
              <w:rPr>
                <w:rFonts w:cstheme="minorHAnsi"/>
                <w:sz w:val="16"/>
                <w:szCs w:val="16"/>
              </w:rPr>
            </w:pPr>
          </w:p>
        </w:tc>
        <w:tc>
          <w:tcPr>
            <w:tcW w:w="92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980" w:type="dxa"/>
            <w:hideMark/>
          </w:tcPr>
          <w:p w:rsidR="00331954" w:rsidRPr="00130996" w:rsidRDefault="00331954" w:rsidP="00331954">
            <w:pPr>
              <w:rPr>
                <w:rFonts w:cstheme="minorHAnsi"/>
                <w:sz w:val="16"/>
                <w:szCs w:val="16"/>
              </w:rPr>
            </w:pPr>
          </w:p>
        </w:tc>
        <w:tc>
          <w:tcPr>
            <w:tcW w:w="180" w:type="dxa"/>
            <w:hideMark/>
          </w:tcPr>
          <w:p w:rsidR="00331954" w:rsidRPr="00130996" w:rsidRDefault="00331954" w:rsidP="00331954">
            <w:pPr>
              <w:rPr>
                <w:rFonts w:cstheme="minorHAnsi"/>
                <w:sz w:val="16"/>
                <w:szCs w:val="16"/>
              </w:rPr>
            </w:pPr>
          </w:p>
        </w:tc>
        <w:tc>
          <w:tcPr>
            <w:tcW w:w="880" w:type="dxa"/>
            <w:hideMark/>
          </w:tcPr>
          <w:p w:rsidR="00331954" w:rsidRPr="00130996" w:rsidRDefault="00331954" w:rsidP="00331954">
            <w:pPr>
              <w:rPr>
                <w:rFonts w:cstheme="minorHAnsi"/>
                <w:sz w:val="16"/>
                <w:szCs w:val="16"/>
              </w:rPr>
            </w:pPr>
          </w:p>
        </w:tc>
        <w:tc>
          <w:tcPr>
            <w:tcW w:w="1840" w:type="dxa"/>
            <w:hideMark/>
          </w:tcPr>
          <w:p w:rsidR="00331954" w:rsidRPr="00130996" w:rsidRDefault="00331954" w:rsidP="00331954">
            <w:pPr>
              <w:rPr>
                <w:rFonts w:cstheme="minorHAnsi"/>
                <w:sz w:val="16"/>
                <w:szCs w:val="16"/>
              </w:rPr>
            </w:pPr>
          </w:p>
        </w:tc>
        <w:tc>
          <w:tcPr>
            <w:tcW w:w="1020" w:type="dxa"/>
            <w:hideMark/>
          </w:tcPr>
          <w:p w:rsidR="00331954" w:rsidRPr="00130996" w:rsidRDefault="00331954" w:rsidP="00331954">
            <w:pPr>
              <w:rPr>
                <w:rFonts w:cstheme="minorHAnsi"/>
                <w:sz w:val="16"/>
                <w:szCs w:val="16"/>
              </w:rPr>
            </w:pPr>
          </w:p>
        </w:tc>
      </w:tr>
      <w:tr w:rsidR="00331954" w:rsidRPr="00130996" w:rsidTr="00130996">
        <w:trPr>
          <w:trHeight w:val="21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5.2.В случае неисполнения п. 5.1 Пациент (Представитель пациента) имеет право вернуть сделанную им предоплату полностью.</w:t>
            </w:r>
          </w:p>
        </w:tc>
      </w:tr>
      <w:tr w:rsidR="00331954" w:rsidRPr="00130996" w:rsidTr="00130996">
        <w:trPr>
          <w:trHeight w:val="419"/>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5.3. Договор вступает в силу со дня подписания его обеими сторонами, и действует до конца текущего года. Если ни одна из сторон не заявит о расторжении настоящего договора до 1 декабря текущего года, договор считается пролонгированным каждый раз на один календарный год.</w:t>
            </w:r>
          </w:p>
        </w:tc>
      </w:tr>
      <w:tr w:rsidR="00331954" w:rsidRPr="00130996" w:rsidTr="00130996">
        <w:trPr>
          <w:trHeight w:val="141"/>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В случае подбора газопроницаемых линз договор вступает в силу с момента эксплуатации линз и действует в течение 1 года.</w:t>
            </w:r>
          </w:p>
        </w:tc>
      </w:tr>
      <w:tr w:rsidR="00331954" w:rsidRPr="00130996" w:rsidTr="00331954">
        <w:trPr>
          <w:trHeight w:val="499"/>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5.4. Сроки оказания медицинских услуг зависят от вида и объема медицинских услуг, согласованных в Приложении к настоящему договору и определяются требованиями, предъявляемыми к методам диагностики, профилактики и лечения (к медицинской технологии).</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6. Добровольное согласие на обработку персональных данных.</w:t>
            </w:r>
          </w:p>
        </w:tc>
      </w:tr>
      <w:tr w:rsidR="00331954" w:rsidRPr="00130996" w:rsidTr="00130996">
        <w:trPr>
          <w:trHeight w:val="77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6.1. При подписании настоящего договора Потребитель дает свое согласие на обработку Исполнителем своих персональных данных, включая особые категории (фамилию, имя, отчество, пол, дату рождения, адрес места жительства, контактные телефоны, реквизиты полиса добровольного медицинского страхования, данные о состоянии здоровья, заболеваниях, случаях обращения за медицинской помощью) в целях оказания медицинских услуг, ведения внутреннего учета Исполнителя.</w:t>
            </w:r>
          </w:p>
        </w:tc>
      </w:tr>
      <w:tr w:rsidR="00331954" w:rsidRPr="00130996" w:rsidTr="00130996">
        <w:trPr>
          <w:trHeight w:val="704"/>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6.2. Потребитель предоставляет Исполнителю право осуществлять все действии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путем внесения их в электронную базу данных Исполнителя. Также предоставляется право передачи персональных данных сторонним организациям, участвующим в оказании медицинских услуг непосредственно Потребителю в рамках данного договора.</w:t>
            </w:r>
          </w:p>
        </w:tc>
      </w:tr>
      <w:tr w:rsidR="00331954" w:rsidRPr="00130996" w:rsidTr="00130996">
        <w:trPr>
          <w:trHeight w:val="488"/>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6.3. Настоящее согласие действует бессрочно до момента подачи в письменном виде Исполнителю заявления об отзыве своего согласия на обработку персональных данных. В данном случае Исполнитель обязуется прекратить их обработку в течение периода времени, необходимого для завершения взаиморасчетов по оплате оказанных до этого Услуг, за исключением случаев, предусмотренных законодательством РФ.</w:t>
            </w:r>
          </w:p>
        </w:tc>
      </w:tr>
      <w:tr w:rsidR="00331954" w:rsidRPr="00130996" w:rsidTr="00331954">
        <w:trPr>
          <w:trHeight w:val="240"/>
        </w:trPr>
        <w:tc>
          <w:tcPr>
            <w:tcW w:w="12080" w:type="dxa"/>
            <w:gridSpan w:val="12"/>
            <w:hideMark/>
          </w:tcPr>
          <w:p w:rsidR="00331954" w:rsidRPr="00130996" w:rsidRDefault="00331954" w:rsidP="00331954">
            <w:pPr>
              <w:rPr>
                <w:rFonts w:cstheme="minorHAnsi"/>
                <w:b/>
                <w:bCs/>
                <w:sz w:val="16"/>
                <w:szCs w:val="16"/>
              </w:rPr>
            </w:pPr>
            <w:r w:rsidRPr="00130996">
              <w:rPr>
                <w:rFonts w:cstheme="minorHAnsi"/>
                <w:b/>
                <w:bCs/>
                <w:sz w:val="16"/>
                <w:szCs w:val="16"/>
              </w:rPr>
              <w:t>7. Дополнительные условия.</w:t>
            </w:r>
          </w:p>
        </w:tc>
      </w:tr>
      <w:tr w:rsidR="00331954" w:rsidRPr="00130996" w:rsidTr="00130996">
        <w:trPr>
          <w:trHeight w:val="515"/>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7.1 Подписывая настоящий договор, я, Пациент (Представитель Пациента), подтверждаю, что мне сообщили об оказываемой услуге и ее особенностях. Я ознакомлен с инструкцией по ношению и уходу за своими контактными линзами. Я даю свое согласие соблюдать предписанный мне врачом режим ношения моих контактных линз и ухода за ними.</w:t>
            </w:r>
          </w:p>
        </w:tc>
      </w:tr>
      <w:tr w:rsidR="00331954" w:rsidRPr="00130996" w:rsidTr="00130996">
        <w:trPr>
          <w:trHeight w:val="495"/>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7.2 При ношении контактных линз возможны непредвиденные осложнения в виде непереносимости компонентов растворов по уходу за ними, а также отдаленные осложнения, связанные с использованием определенных типов контактных линз. Вероятность, смысл и исход таких осложнений были мне объяснены и я, Пациент, даю свое согласие на ношение подобранных мне контактных линз.</w:t>
            </w:r>
          </w:p>
        </w:tc>
      </w:tr>
      <w:tr w:rsidR="00331954" w:rsidRPr="00130996" w:rsidTr="00130996">
        <w:trPr>
          <w:trHeight w:val="475"/>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7.3 Контактные линзы являются предметом медицинского назначения и индивидуального пользования и относятся к категории товаров надлежащего качества, не подлежащих обмену и возврату (согласно Постановлению Правительства РФ от 19 января 1988г.№55) согласно ст.25 Закона о защите прав потребителей РФ «Право потребителя на обмен товара надлежащего качества».</w:t>
            </w:r>
          </w:p>
        </w:tc>
      </w:tr>
      <w:tr w:rsidR="00331954" w:rsidRPr="00130996" w:rsidTr="00130996">
        <w:trPr>
          <w:trHeight w:val="327"/>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7.4. Договор может быть расторгнут по инициативе одной из сторон, в случае нарушения другой стороной принятых на себя обязательств, в соответствии с законодательством РФ, либо по обоюдному согласию.</w:t>
            </w:r>
          </w:p>
        </w:tc>
      </w:tr>
      <w:tr w:rsidR="00331954" w:rsidRPr="00130996" w:rsidTr="00130996">
        <w:trPr>
          <w:trHeight w:val="361"/>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7.5 Стороны признают равную юридическую силу собственноручной подписи и факсимильной подписи на данном договоре и дополнительных соглашениях. приложениях к этому договору.</w:t>
            </w:r>
          </w:p>
        </w:tc>
      </w:tr>
      <w:tr w:rsidR="00331954" w:rsidRPr="00130996" w:rsidTr="00130996">
        <w:trPr>
          <w:trHeight w:val="25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7.6. В случае возникновения разногласий между Исполнителем и Потребителем, стороны обязуются в досудебном порядке решить спорный вопрос путем направления в адрес друг друга письменных претензий. При невозможности урегулирования разногласий, стороны могут обратиться в суд.</w:t>
            </w:r>
          </w:p>
        </w:tc>
      </w:tr>
      <w:tr w:rsidR="00331954" w:rsidRPr="00130996" w:rsidTr="00331954">
        <w:trPr>
          <w:trHeight w:val="24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7.7. Дого</w:t>
            </w:r>
            <w:bookmarkStart w:id="0" w:name="_GoBack"/>
            <w:bookmarkEnd w:id="0"/>
            <w:r w:rsidRPr="00130996">
              <w:rPr>
                <w:rFonts w:cstheme="minorHAnsi"/>
                <w:sz w:val="16"/>
                <w:szCs w:val="16"/>
              </w:rPr>
              <w:t>вор составлен в 2-х экземплярах, имеющих одинаковую юридическую силу, по одному для каждой из сторон.</w:t>
            </w:r>
          </w:p>
        </w:tc>
      </w:tr>
      <w:tr w:rsidR="00331954" w:rsidRPr="00130996" w:rsidTr="00130996">
        <w:trPr>
          <w:trHeight w:val="900"/>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7.8. Потребитель подтверждает, что он ознакомлен с Правилами предоставления медицинскими организациями платных медицинских услуг, утвержденных Постановлением Правительства Российской Федерации от 04 октября 2012 года № 1006, а также, что он информирован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tc>
      </w:tr>
      <w:tr w:rsidR="00331954" w:rsidRPr="00130996" w:rsidTr="00130996">
        <w:trPr>
          <w:trHeight w:val="333"/>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7.9. Потребитель подтверждает, что договор им прочитан, смысл и значение каждого пункта ему разъяснены, ему понятны и соответствуют его намерениям. С прейскурантом цен, гарантийными сроками, информацией на медицинские вмешательства ознакомлен.</w:t>
            </w:r>
          </w:p>
        </w:tc>
      </w:tr>
      <w:tr w:rsidR="00331954" w:rsidRPr="00130996" w:rsidTr="00331954">
        <w:trPr>
          <w:trHeight w:val="739"/>
        </w:trPr>
        <w:tc>
          <w:tcPr>
            <w:tcW w:w="12080" w:type="dxa"/>
            <w:gridSpan w:val="12"/>
            <w:hideMark/>
          </w:tcPr>
          <w:p w:rsidR="00331954" w:rsidRPr="00130996" w:rsidRDefault="00331954" w:rsidP="00331954">
            <w:pPr>
              <w:rPr>
                <w:rFonts w:cstheme="minorHAnsi"/>
                <w:sz w:val="16"/>
                <w:szCs w:val="16"/>
              </w:rPr>
            </w:pPr>
            <w:r w:rsidRPr="00130996">
              <w:rPr>
                <w:rFonts w:cstheme="minorHAnsi"/>
                <w:sz w:val="16"/>
                <w:szCs w:val="16"/>
              </w:rPr>
              <w:t xml:space="preserve">7.10 До заключения договора Исполнителем уведомлен (а) о том, что несоблюдение указаний (рекомендаций) Исполнителя (медицинского работника, предоставляющего платную медицинскую услугу), в </w:t>
            </w:r>
            <w:proofErr w:type="spellStart"/>
            <w:r w:rsidRPr="00130996">
              <w:rPr>
                <w:rFonts w:cstheme="minorHAnsi"/>
                <w:sz w:val="16"/>
                <w:szCs w:val="16"/>
              </w:rPr>
              <w:t>т.ч</w:t>
            </w:r>
            <w:proofErr w:type="spellEnd"/>
            <w:r w:rsidRPr="00130996">
              <w:rPr>
                <w:rFonts w:cstheme="minorHAnsi"/>
                <w:sz w:val="16"/>
                <w:szCs w:val="16"/>
              </w:rPr>
              <w:t>.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tc>
      </w:tr>
      <w:tr w:rsidR="00331954" w:rsidRPr="00130996" w:rsidTr="00331954">
        <w:trPr>
          <w:trHeight w:val="379"/>
        </w:trPr>
        <w:tc>
          <w:tcPr>
            <w:tcW w:w="240" w:type="dxa"/>
            <w:hideMark/>
          </w:tcPr>
          <w:p w:rsidR="00331954" w:rsidRPr="00130996" w:rsidRDefault="00331954" w:rsidP="00331954">
            <w:pPr>
              <w:rPr>
                <w:rFonts w:cstheme="minorHAnsi"/>
                <w:sz w:val="16"/>
                <w:szCs w:val="16"/>
              </w:rPr>
            </w:pPr>
          </w:p>
        </w:tc>
        <w:tc>
          <w:tcPr>
            <w:tcW w:w="740" w:type="dxa"/>
            <w:hideMark/>
          </w:tcPr>
          <w:p w:rsidR="00331954" w:rsidRPr="00130996" w:rsidRDefault="00331954" w:rsidP="00331954">
            <w:pPr>
              <w:rPr>
                <w:rFonts w:cstheme="minorHAnsi"/>
                <w:sz w:val="16"/>
                <w:szCs w:val="16"/>
              </w:rPr>
            </w:pPr>
          </w:p>
        </w:tc>
        <w:tc>
          <w:tcPr>
            <w:tcW w:w="208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2880" w:type="dxa"/>
            <w:hideMark/>
          </w:tcPr>
          <w:p w:rsidR="00331954" w:rsidRPr="00130996" w:rsidRDefault="00331954" w:rsidP="00331954">
            <w:pPr>
              <w:rPr>
                <w:rFonts w:cstheme="minorHAnsi"/>
                <w:sz w:val="16"/>
                <w:szCs w:val="16"/>
              </w:rPr>
            </w:pPr>
          </w:p>
        </w:tc>
        <w:tc>
          <w:tcPr>
            <w:tcW w:w="92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2040" w:type="dxa"/>
            <w:gridSpan w:val="3"/>
            <w:hideMark/>
          </w:tcPr>
          <w:p w:rsidR="00331954" w:rsidRPr="00130996" w:rsidRDefault="00331954" w:rsidP="00331954">
            <w:pPr>
              <w:rPr>
                <w:rFonts w:cstheme="minorHAnsi"/>
                <w:sz w:val="16"/>
                <w:szCs w:val="16"/>
              </w:rPr>
            </w:pPr>
            <w:r w:rsidRPr="00130996">
              <w:rPr>
                <w:rFonts w:cstheme="minorHAnsi"/>
                <w:sz w:val="16"/>
                <w:szCs w:val="16"/>
              </w:rPr>
              <w:t>Уведомлен и понимаю</w:t>
            </w:r>
          </w:p>
        </w:tc>
        <w:tc>
          <w:tcPr>
            <w:tcW w:w="2860" w:type="dxa"/>
            <w:gridSpan w:val="2"/>
            <w:hideMark/>
          </w:tcPr>
          <w:p w:rsidR="00331954" w:rsidRPr="00130996" w:rsidRDefault="00331954" w:rsidP="00331954">
            <w:pPr>
              <w:rPr>
                <w:rFonts w:cstheme="minorHAnsi"/>
                <w:sz w:val="16"/>
                <w:szCs w:val="16"/>
              </w:rPr>
            </w:pPr>
            <w:r w:rsidRPr="00130996">
              <w:rPr>
                <w:rFonts w:cstheme="minorHAnsi"/>
                <w:sz w:val="16"/>
                <w:szCs w:val="16"/>
              </w:rPr>
              <w:t>√</w:t>
            </w:r>
          </w:p>
        </w:tc>
      </w:tr>
      <w:tr w:rsidR="00331954" w:rsidRPr="00130996" w:rsidTr="00331954">
        <w:trPr>
          <w:trHeight w:val="240"/>
        </w:trPr>
        <w:tc>
          <w:tcPr>
            <w:tcW w:w="240" w:type="dxa"/>
            <w:hideMark/>
          </w:tcPr>
          <w:p w:rsidR="00331954" w:rsidRPr="00130996" w:rsidRDefault="00331954" w:rsidP="00331954">
            <w:pPr>
              <w:rPr>
                <w:rFonts w:cstheme="minorHAnsi"/>
                <w:sz w:val="16"/>
                <w:szCs w:val="16"/>
              </w:rPr>
            </w:pPr>
          </w:p>
        </w:tc>
        <w:tc>
          <w:tcPr>
            <w:tcW w:w="740" w:type="dxa"/>
            <w:hideMark/>
          </w:tcPr>
          <w:p w:rsidR="00331954" w:rsidRPr="00130996" w:rsidRDefault="00331954" w:rsidP="00331954">
            <w:pPr>
              <w:rPr>
                <w:rFonts w:cstheme="minorHAnsi"/>
                <w:sz w:val="16"/>
                <w:szCs w:val="16"/>
              </w:rPr>
            </w:pPr>
          </w:p>
        </w:tc>
        <w:tc>
          <w:tcPr>
            <w:tcW w:w="208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2880" w:type="dxa"/>
            <w:hideMark/>
          </w:tcPr>
          <w:p w:rsidR="00331954" w:rsidRPr="00130996" w:rsidRDefault="00331954" w:rsidP="00331954">
            <w:pPr>
              <w:rPr>
                <w:rFonts w:cstheme="minorHAnsi"/>
                <w:sz w:val="16"/>
                <w:szCs w:val="16"/>
              </w:rPr>
            </w:pPr>
          </w:p>
        </w:tc>
        <w:tc>
          <w:tcPr>
            <w:tcW w:w="920" w:type="dxa"/>
            <w:hideMark/>
          </w:tcPr>
          <w:p w:rsidR="00331954" w:rsidRPr="00130996" w:rsidRDefault="00331954" w:rsidP="00331954">
            <w:pPr>
              <w:rPr>
                <w:rFonts w:cstheme="minorHAnsi"/>
                <w:sz w:val="16"/>
                <w:szCs w:val="16"/>
              </w:rPr>
            </w:pPr>
          </w:p>
        </w:tc>
        <w:tc>
          <w:tcPr>
            <w:tcW w:w="160" w:type="dxa"/>
            <w:hideMark/>
          </w:tcPr>
          <w:p w:rsidR="00331954" w:rsidRPr="00130996" w:rsidRDefault="00331954" w:rsidP="00331954">
            <w:pPr>
              <w:rPr>
                <w:rFonts w:cstheme="minorHAnsi"/>
                <w:sz w:val="16"/>
                <w:szCs w:val="16"/>
              </w:rPr>
            </w:pPr>
          </w:p>
        </w:tc>
        <w:tc>
          <w:tcPr>
            <w:tcW w:w="980" w:type="dxa"/>
            <w:hideMark/>
          </w:tcPr>
          <w:p w:rsidR="00331954" w:rsidRPr="00130996" w:rsidRDefault="00331954" w:rsidP="00331954">
            <w:pPr>
              <w:rPr>
                <w:rFonts w:cstheme="minorHAnsi"/>
                <w:sz w:val="16"/>
                <w:szCs w:val="16"/>
              </w:rPr>
            </w:pPr>
          </w:p>
        </w:tc>
        <w:tc>
          <w:tcPr>
            <w:tcW w:w="180" w:type="dxa"/>
            <w:hideMark/>
          </w:tcPr>
          <w:p w:rsidR="00331954" w:rsidRPr="00130996" w:rsidRDefault="00331954" w:rsidP="00331954">
            <w:pPr>
              <w:rPr>
                <w:rFonts w:cstheme="minorHAnsi"/>
                <w:sz w:val="16"/>
                <w:szCs w:val="16"/>
              </w:rPr>
            </w:pPr>
          </w:p>
        </w:tc>
        <w:tc>
          <w:tcPr>
            <w:tcW w:w="880" w:type="dxa"/>
            <w:hideMark/>
          </w:tcPr>
          <w:p w:rsidR="00331954" w:rsidRPr="00130996" w:rsidRDefault="00331954" w:rsidP="00331954">
            <w:pPr>
              <w:rPr>
                <w:rFonts w:cstheme="minorHAnsi"/>
                <w:sz w:val="16"/>
                <w:szCs w:val="16"/>
              </w:rPr>
            </w:pPr>
          </w:p>
        </w:tc>
        <w:tc>
          <w:tcPr>
            <w:tcW w:w="1840" w:type="dxa"/>
            <w:hideMark/>
          </w:tcPr>
          <w:p w:rsidR="00331954" w:rsidRPr="00130996" w:rsidRDefault="00331954" w:rsidP="00331954">
            <w:pPr>
              <w:rPr>
                <w:rFonts w:cstheme="minorHAnsi"/>
                <w:sz w:val="16"/>
                <w:szCs w:val="16"/>
              </w:rPr>
            </w:pPr>
          </w:p>
        </w:tc>
        <w:tc>
          <w:tcPr>
            <w:tcW w:w="1020" w:type="dxa"/>
            <w:hideMark/>
          </w:tcPr>
          <w:p w:rsidR="00331954" w:rsidRPr="00130996" w:rsidRDefault="00331954" w:rsidP="00331954">
            <w:pPr>
              <w:rPr>
                <w:rFonts w:cstheme="minorHAnsi"/>
                <w:sz w:val="16"/>
                <w:szCs w:val="16"/>
              </w:rPr>
            </w:pPr>
          </w:p>
        </w:tc>
      </w:tr>
      <w:tr w:rsidR="00331954" w:rsidRPr="00130996" w:rsidTr="00331954">
        <w:trPr>
          <w:trHeight w:val="240"/>
        </w:trPr>
        <w:tc>
          <w:tcPr>
            <w:tcW w:w="6100" w:type="dxa"/>
            <w:gridSpan w:val="5"/>
            <w:hideMark/>
          </w:tcPr>
          <w:p w:rsidR="00331954" w:rsidRPr="00130996" w:rsidRDefault="00331954">
            <w:pPr>
              <w:rPr>
                <w:rFonts w:cstheme="minorHAnsi"/>
                <w:b/>
                <w:bCs/>
                <w:sz w:val="16"/>
                <w:szCs w:val="16"/>
              </w:rPr>
            </w:pPr>
            <w:r w:rsidRPr="00130996">
              <w:rPr>
                <w:rFonts w:cstheme="minorHAnsi"/>
                <w:b/>
                <w:bCs/>
                <w:sz w:val="16"/>
                <w:szCs w:val="16"/>
              </w:rPr>
              <w:t>Исполнитель:</w:t>
            </w:r>
          </w:p>
        </w:tc>
        <w:tc>
          <w:tcPr>
            <w:tcW w:w="5980" w:type="dxa"/>
            <w:gridSpan w:val="7"/>
            <w:hideMark/>
          </w:tcPr>
          <w:p w:rsidR="00331954" w:rsidRPr="00130996" w:rsidRDefault="00331954">
            <w:pPr>
              <w:rPr>
                <w:rFonts w:cstheme="minorHAnsi"/>
                <w:b/>
                <w:bCs/>
                <w:sz w:val="16"/>
                <w:szCs w:val="16"/>
              </w:rPr>
            </w:pPr>
            <w:r w:rsidRPr="00130996">
              <w:rPr>
                <w:rFonts w:cstheme="minorHAnsi"/>
                <w:b/>
                <w:bCs/>
                <w:sz w:val="16"/>
                <w:szCs w:val="16"/>
              </w:rPr>
              <w:t>Иванов Иван Иванович</w:t>
            </w:r>
          </w:p>
        </w:tc>
      </w:tr>
      <w:tr w:rsidR="00331954" w:rsidRPr="00130996" w:rsidTr="00331954">
        <w:trPr>
          <w:trHeight w:val="240"/>
        </w:trPr>
        <w:tc>
          <w:tcPr>
            <w:tcW w:w="6100" w:type="dxa"/>
            <w:gridSpan w:val="5"/>
            <w:hideMark/>
          </w:tcPr>
          <w:p w:rsidR="00331954" w:rsidRPr="00130996" w:rsidRDefault="00331954">
            <w:pPr>
              <w:rPr>
                <w:rFonts w:cstheme="minorHAnsi"/>
                <w:b/>
                <w:bCs/>
                <w:sz w:val="16"/>
                <w:szCs w:val="16"/>
              </w:rPr>
            </w:pPr>
            <w:r w:rsidRPr="00130996">
              <w:rPr>
                <w:rFonts w:cstheme="minorHAnsi"/>
                <w:b/>
                <w:bCs/>
                <w:sz w:val="16"/>
                <w:szCs w:val="16"/>
              </w:rPr>
              <w:t>ООО "Центр коррекции зрения "Доктор Линза"</w:t>
            </w:r>
          </w:p>
        </w:tc>
        <w:tc>
          <w:tcPr>
            <w:tcW w:w="5980" w:type="dxa"/>
            <w:gridSpan w:val="7"/>
            <w:vMerge w:val="restart"/>
            <w:hideMark/>
          </w:tcPr>
          <w:p w:rsidR="00331954" w:rsidRPr="00130996" w:rsidRDefault="00331954">
            <w:pPr>
              <w:rPr>
                <w:rFonts w:cstheme="minorHAnsi"/>
                <w:sz w:val="16"/>
                <w:szCs w:val="16"/>
              </w:rPr>
            </w:pPr>
            <w:proofErr w:type="spellStart"/>
            <w:r w:rsidRPr="00130996">
              <w:rPr>
                <w:rFonts w:cstheme="minorHAnsi"/>
                <w:sz w:val="16"/>
                <w:szCs w:val="16"/>
              </w:rPr>
              <w:t>Папорт</w:t>
            </w:r>
            <w:proofErr w:type="spellEnd"/>
            <w:r w:rsidRPr="00130996">
              <w:rPr>
                <w:rFonts w:cstheme="minorHAnsi"/>
                <w:sz w:val="16"/>
                <w:szCs w:val="16"/>
              </w:rPr>
              <w:t xml:space="preserve">: </w:t>
            </w:r>
          </w:p>
        </w:tc>
      </w:tr>
      <w:tr w:rsidR="00331954" w:rsidRPr="00130996" w:rsidTr="00331954">
        <w:trPr>
          <w:trHeight w:val="240"/>
        </w:trPr>
        <w:tc>
          <w:tcPr>
            <w:tcW w:w="6100" w:type="dxa"/>
            <w:gridSpan w:val="5"/>
            <w:hideMark/>
          </w:tcPr>
          <w:p w:rsidR="00331954" w:rsidRPr="00130996" w:rsidRDefault="00331954">
            <w:pPr>
              <w:rPr>
                <w:rFonts w:cstheme="minorHAnsi"/>
                <w:sz w:val="16"/>
                <w:szCs w:val="16"/>
              </w:rPr>
            </w:pPr>
            <w:r w:rsidRPr="00130996">
              <w:rPr>
                <w:rFonts w:cstheme="minorHAnsi"/>
                <w:sz w:val="16"/>
                <w:szCs w:val="16"/>
              </w:rPr>
              <w:t>г. Екатеринбург, ул. Хохрякова, 63</w:t>
            </w:r>
          </w:p>
        </w:tc>
        <w:tc>
          <w:tcPr>
            <w:tcW w:w="5980" w:type="dxa"/>
            <w:gridSpan w:val="7"/>
            <w:vMerge/>
            <w:hideMark/>
          </w:tcPr>
          <w:p w:rsidR="00331954" w:rsidRPr="00130996" w:rsidRDefault="00331954">
            <w:pPr>
              <w:rPr>
                <w:rFonts w:cstheme="minorHAnsi"/>
                <w:sz w:val="16"/>
                <w:szCs w:val="16"/>
              </w:rPr>
            </w:pPr>
          </w:p>
        </w:tc>
      </w:tr>
      <w:tr w:rsidR="00331954" w:rsidRPr="00130996" w:rsidTr="00331954">
        <w:trPr>
          <w:trHeight w:val="240"/>
        </w:trPr>
        <w:tc>
          <w:tcPr>
            <w:tcW w:w="6100" w:type="dxa"/>
            <w:gridSpan w:val="5"/>
            <w:hideMark/>
          </w:tcPr>
          <w:p w:rsidR="00331954" w:rsidRPr="00130996" w:rsidRDefault="00331954">
            <w:pPr>
              <w:rPr>
                <w:rFonts w:cstheme="minorHAnsi"/>
                <w:sz w:val="16"/>
                <w:szCs w:val="16"/>
              </w:rPr>
            </w:pPr>
            <w:r w:rsidRPr="00130996">
              <w:rPr>
                <w:rFonts w:cstheme="minorHAnsi"/>
                <w:sz w:val="16"/>
                <w:szCs w:val="16"/>
              </w:rPr>
              <w:t>8(343) 243-56-03</w:t>
            </w:r>
          </w:p>
        </w:tc>
        <w:tc>
          <w:tcPr>
            <w:tcW w:w="5980" w:type="dxa"/>
            <w:gridSpan w:val="7"/>
            <w:vMerge/>
            <w:hideMark/>
          </w:tcPr>
          <w:p w:rsidR="00331954" w:rsidRPr="00130996" w:rsidRDefault="00331954">
            <w:pPr>
              <w:rPr>
                <w:rFonts w:cstheme="minorHAnsi"/>
                <w:sz w:val="16"/>
                <w:szCs w:val="16"/>
              </w:rPr>
            </w:pPr>
          </w:p>
        </w:tc>
      </w:tr>
      <w:tr w:rsidR="00331954" w:rsidRPr="00130996" w:rsidTr="00331954">
        <w:trPr>
          <w:trHeight w:val="240"/>
        </w:trPr>
        <w:tc>
          <w:tcPr>
            <w:tcW w:w="6100" w:type="dxa"/>
            <w:gridSpan w:val="5"/>
            <w:hideMark/>
          </w:tcPr>
          <w:p w:rsidR="00331954" w:rsidRPr="00130996" w:rsidRDefault="00331954">
            <w:pPr>
              <w:rPr>
                <w:rFonts w:cstheme="minorHAnsi"/>
                <w:sz w:val="16"/>
                <w:szCs w:val="16"/>
              </w:rPr>
            </w:pPr>
            <w:r w:rsidRPr="00130996">
              <w:rPr>
                <w:rFonts w:cstheme="minorHAnsi"/>
                <w:sz w:val="16"/>
                <w:szCs w:val="16"/>
              </w:rPr>
              <w:t>ЦКЗ «Доктор Линза»</w:t>
            </w:r>
          </w:p>
        </w:tc>
        <w:tc>
          <w:tcPr>
            <w:tcW w:w="5980" w:type="dxa"/>
            <w:gridSpan w:val="7"/>
            <w:vMerge/>
            <w:hideMark/>
          </w:tcPr>
          <w:p w:rsidR="00331954" w:rsidRPr="00130996" w:rsidRDefault="00331954">
            <w:pPr>
              <w:rPr>
                <w:rFonts w:cstheme="minorHAnsi"/>
                <w:sz w:val="16"/>
                <w:szCs w:val="16"/>
              </w:rPr>
            </w:pPr>
          </w:p>
        </w:tc>
      </w:tr>
      <w:tr w:rsidR="00331954" w:rsidRPr="00130996" w:rsidTr="00331954">
        <w:trPr>
          <w:trHeight w:val="739"/>
        </w:trPr>
        <w:tc>
          <w:tcPr>
            <w:tcW w:w="980" w:type="dxa"/>
            <w:gridSpan w:val="2"/>
            <w:hideMark/>
          </w:tcPr>
          <w:p w:rsidR="00331954" w:rsidRPr="00130996" w:rsidRDefault="00331954">
            <w:pPr>
              <w:rPr>
                <w:rFonts w:cstheme="minorHAnsi"/>
                <w:b/>
                <w:bCs/>
                <w:sz w:val="16"/>
                <w:szCs w:val="16"/>
              </w:rPr>
            </w:pPr>
            <w:r w:rsidRPr="00130996">
              <w:rPr>
                <w:rFonts w:cstheme="minorHAnsi"/>
                <w:b/>
                <w:bCs/>
                <w:sz w:val="16"/>
                <w:szCs w:val="16"/>
              </w:rPr>
              <w:t>Директор</w:t>
            </w:r>
          </w:p>
        </w:tc>
        <w:tc>
          <w:tcPr>
            <w:tcW w:w="2080" w:type="dxa"/>
            <w:hideMark/>
          </w:tcPr>
          <w:p w:rsidR="00331954" w:rsidRPr="00130996" w:rsidRDefault="00331954">
            <w:pPr>
              <w:rPr>
                <w:rFonts w:cstheme="minorHAnsi"/>
                <w:b/>
                <w:bCs/>
                <w:sz w:val="16"/>
                <w:szCs w:val="16"/>
              </w:rPr>
            </w:pPr>
            <w:r w:rsidRPr="00130996">
              <w:rPr>
                <w:rFonts w:cstheme="minorHAnsi"/>
                <w:b/>
                <w:bCs/>
                <w:sz w:val="16"/>
                <w:szCs w:val="16"/>
              </w:rPr>
              <w:t> </w:t>
            </w:r>
          </w:p>
        </w:tc>
        <w:tc>
          <w:tcPr>
            <w:tcW w:w="3040" w:type="dxa"/>
            <w:gridSpan w:val="2"/>
            <w:hideMark/>
          </w:tcPr>
          <w:p w:rsidR="00331954" w:rsidRPr="00130996" w:rsidRDefault="00331954">
            <w:pPr>
              <w:rPr>
                <w:rFonts w:cstheme="minorHAnsi"/>
                <w:b/>
                <w:bCs/>
                <w:sz w:val="16"/>
                <w:szCs w:val="16"/>
              </w:rPr>
            </w:pPr>
            <w:r w:rsidRPr="00130996">
              <w:rPr>
                <w:rFonts w:cstheme="minorHAnsi"/>
                <w:b/>
                <w:bCs/>
                <w:sz w:val="16"/>
                <w:szCs w:val="16"/>
              </w:rPr>
              <w:t>Е.В. Плотникова</w:t>
            </w:r>
          </w:p>
        </w:tc>
        <w:tc>
          <w:tcPr>
            <w:tcW w:w="920" w:type="dxa"/>
            <w:hideMark/>
          </w:tcPr>
          <w:p w:rsidR="00331954" w:rsidRPr="00130996" w:rsidRDefault="00331954">
            <w:pPr>
              <w:rPr>
                <w:rFonts w:cstheme="minorHAnsi"/>
                <w:b/>
                <w:bCs/>
                <w:sz w:val="16"/>
                <w:szCs w:val="16"/>
              </w:rPr>
            </w:pPr>
            <w:r w:rsidRPr="00130996">
              <w:rPr>
                <w:rFonts w:cstheme="minorHAnsi"/>
                <w:b/>
                <w:bCs/>
                <w:sz w:val="16"/>
                <w:szCs w:val="16"/>
              </w:rPr>
              <w:t>Подпись</w:t>
            </w:r>
          </w:p>
        </w:tc>
        <w:tc>
          <w:tcPr>
            <w:tcW w:w="1140" w:type="dxa"/>
            <w:gridSpan w:val="2"/>
            <w:hideMark/>
          </w:tcPr>
          <w:p w:rsidR="00331954" w:rsidRPr="00130996" w:rsidRDefault="00331954">
            <w:pPr>
              <w:rPr>
                <w:rFonts w:cstheme="minorHAnsi"/>
                <w:sz w:val="16"/>
                <w:szCs w:val="16"/>
              </w:rPr>
            </w:pPr>
            <w:r w:rsidRPr="00130996">
              <w:rPr>
                <w:rFonts w:cstheme="minorHAnsi"/>
                <w:sz w:val="16"/>
                <w:szCs w:val="16"/>
              </w:rPr>
              <w:t>√</w:t>
            </w:r>
          </w:p>
        </w:tc>
        <w:tc>
          <w:tcPr>
            <w:tcW w:w="180" w:type="dxa"/>
            <w:hideMark/>
          </w:tcPr>
          <w:p w:rsidR="00331954" w:rsidRPr="00130996" w:rsidRDefault="00331954">
            <w:pPr>
              <w:rPr>
                <w:rFonts w:cstheme="minorHAnsi"/>
                <w:b/>
                <w:bCs/>
                <w:sz w:val="16"/>
                <w:szCs w:val="16"/>
              </w:rPr>
            </w:pPr>
            <w:r w:rsidRPr="00130996">
              <w:rPr>
                <w:rFonts w:cstheme="minorHAnsi"/>
                <w:b/>
                <w:bCs/>
                <w:sz w:val="16"/>
                <w:szCs w:val="16"/>
              </w:rPr>
              <w:t>/</w:t>
            </w:r>
          </w:p>
        </w:tc>
        <w:tc>
          <w:tcPr>
            <w:tcW w:w="2720" w:type="dxa"/>
            <w:gridSpan w:val="2"/>
            <w:hideMark/>
          </w:tcPr>
          <w:p w:rsidR="00331954" w:rsidRPr="00130996" w:rsidRDefault="00331954">
            <w:pPr>
              <w:rPr>
                <w:rFonts w:cstheme="minorHAnsi"/>
                <w:b/>
                <w:bCs/>
                <w:sz w:val="16"/>
                <w:szCs w:val="16"/>
              </w:rPr>
            </w:pPr>
            <w:r w:rsidRPr="00130996">
              <w:rPr>
                <w:rFonts w:cstheme="minorHAnsi"/>
                <w:b/>
                <w:bCs/>
                <w:sz w:val="16"/>
                <w:szCs w:val="16"/>
              </w:rPr>
              <w:t>Иванов Иван Иванович</w:t>
            </w:r>
          </w:p>
        </w:tc>
        <w:tc>
          <w:tcPr>
            <w:tcW w:w="1020" w:type="dxa"/>
            <w:hideMark/>
          </w:tcPr>
          <w:p w:rsidR="00331954" w:rsidRPr="00130996" w:rsidRDefault="00331954">
            <w:pPr>
              <w:rPr>
                <w:rFonts w:cstheme="minorHAnsi"/>
                <w:b/>
                <w:bCs/>
                <w:sz w:val="16"/>
                <w:szCs w:val="16"/>
              </w:rPr>
            </w:pPr>
          </w:p>
        </w:tc>
      </w:tr>
    </w:tbl>
    <w:p w:rsidR="007D3847" w:rsidRPr="00130996" w:rsidRDefault="007D3847">
      <w:pPr>
        <w:rPr>
          <w:rFonts w:cstheme="minorHAnsi"/>
          <w:sz w:val="16"/>
          <w:szCs w:val="16"/>
        </w:rPr>
      </w:pPr>
    </w:p>
    <w:sectPr w:rsidR="007D3847" w:rsidRPr="00130996" w:rsidSect="00130996">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13"/>
    <w:rsid w:val="00130996"/>
    <w:rsid w:val="00331954"/>
    <w:rsid w:val="007D3847"/>
    <w:rsid w:val="00815E13"/>
    <w:rsid w:val="00F7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AFA9C-A74C-4A29-A47C-0A8A501F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17751">
      <w:bodyDiv w:val="1"/>
      <w:marLeft w:val="0"/>
      <w:marRight w:val="0"/>
      <w:marTop w:val="0"/>
      <w:marBottom w:val="0"/>
      <w:divBdr>
        <w:top w:val="none" w:sz="0" w:space="0" w:color="auto"/>
        <w:left w:val="none" w:sz="0" w:space="0" w:color="auto"/>
        <w:bottom w:val="none" w:sz="0" w:space="0" w:color="auto"/>
        <w:right w:val="none" w:sz="0" w:space="0" w:color="auto"/>
      </w:divBdr>
    </w:div>
    <w:div w:id="20229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2021-02-21T08:58:00Z</dcterms:created>
  <dcterms:modified xsi:type="dcterms:W3CDTF">2021-02-21T09:07:00Z</dcterms:modified>
</cp:coreProperties>
</file>